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59B0A" w14:textId="77777777" w:rsidR="00C40151" w:rsidRPr="00EE4BA4" w:rsidRDefault="00C40151" w:rsidP="00F97562">
      <w:pPr>
        <w:rPr>
          <w:u w:val="single"/>
        </w:rPr>
      </w:pPr>
      <w:r w:rsidRPr="00EE4BA4">
        <w:rPr>
          <w:u w:val="single"/>
        </w:rPr>
        <w:t>Purpose</w:t>
      </w:r>
    </w:p>
    <w:p w14:paraId="6D79C2B2" w14:textId="3894AFB6" w:rsidR="00F97562" w:rsidRDefault="00F97562" w:rsidP="00F97562">
      <w:r>
        <w:t xml:space="preserve">This policy outlines how the school complies with the </w:t>
      </w:r>
      <w:hyperlink r:id="rId11" w:history="1">
        <w:r w:rsidR="00B45BDD">
          <w:rPr>
            <w:rStyle w:val="Hyperlink"/>
          </w:rPr>
          <w:t>S</w:t>
        </w:r>
        <w:r w:rsidRPr="00B45BDD">
          <w:rPr>
            <w:rStyle w:val="Hyperlink"/>
          </w:rPr>
          <w:t xml:space="preserve">tatutory </w:t>
        </w:r>
        <w:r w:rsidR="00B45BDD">
          <w:rPr>
            <w:rStyle w:val="Hyperlink"/>
          </w:rPr>
          <w:t>G</w:t>
        </w:r>
        <w:r w:rsidRPr="00B45BDD">
          <w:rPr>
            <w:rStyle w:val="Hyperlink"/>
          </w:rPr>
          <w:t>uidance for th</w:t>
        </w:r>
        <w:r w:rsidR="00AF6E5D" w:rsidRPr="00B45BDD">
          <w:rPr>
            <w:rStyle w:val="Hyperlink"/>
          </w:rPr>
          <w:t xml:space="preserve">e </w:t>
        </w:r>
        <w:r w:rsidR="00B45BDD">
          <w:rPr>
            <w:rStyle w:val="Hyperlink"/>
          </w:rPr>
          <w:t>I</w:t>
        </w:r>
        <w:r w:rsidR="00AF6E5D" w:rsidRPr="00B45BDD">
          <w:rPr>
            <w:rStyle w:val="Hyperlink"/>
          </w:rPr>
          <w:t>nduction</w:t>
        </w:r>
        <w:r w:rsidRPr="00B45BDD">
          <w:rPr>
            <w:rStyle w:val="Hyperlink"/>
          </w:rPr>
          <w:t xml:space="preserve"> of </w:t>
        </w:r>
        <w:r w:rsidR="00B45BDD" w:rsidRPr="00B45BDD">
          <w:rPr>
            <w:rStyle w:val="Hyperlink"/>
          </w:rPr>
          <w:t>Early Career Teachers (ECTs)</w:t>
        </w:r>
      </w:hyperlink>
      <w:r w:rsidR="00B45BDD">
        <w:t xml:space="preserve"> (Revised March 2021 to come into force September </w:t>
      </w:r>
      <w:r w:rsidR="00B45BDD" w:rsidRPr="00B45BDD">
        <w:t>2021)</w:t>
      </w:r>
      <w:r w:rsidRPr="00B45BDD">
        <w:t>.</w:t>
      </w:r>
    </w:p>
    <w:p w14:paraId="732F0E70" w14:textId="77777777" w:rsidR="00F64A00" w:rsidRPr="00EE4BA4" w:rsidRDefault="00F64A00" w:rsidP="00F97562">
      <w:pPr>
        <w:rPr>
          <w:u w:val="single"/>
        </w:rPr>
      </w:pPr>
      <w:r w:rsidRPr="00EE4BA4">
        <w:rPr>
          <w:u w:val="single"/>
        </w:rPr>
        <w:t>Review</w:t>
      </w:r>
    </w:p>
    <w:p w14:paraId="6F49CE8E" w14:textId="5C801AAD" w:rsidR="00F64A00" w:rsidRDefault="00F64A00" w:rsidP="00F97562">
      <w:r>
        <w:t xml:space="preserve">The </w:t>
      </w:r>
      <w:r w:rsidR="00FC3B01">
        <w:t>policy</w:t>
      </w:r>
      <w:r>
        <w:t xml:space="preserve"> should be updated annually by the Governing Body, who should be aware of their responsibilities within </w:t>
      </w:r>
      <w:r w:rsidRPr="00B45BDD">
        <w:t>section 5.1</w:t>
      </w:r>
      <w:r w:rsidR="00B45BDD" w:rsidRPr="00B45BDD">
        <w:t>3</w:t>
      </w:r>
      <w:r w:rsidRPr="00B45BDD">
        <w:t xml:space="preserve"> of </w:t>
      </w:r>
      <w:r>
        <w:t xml:space="preserve">the </w:t>
      </w:r>
      <w:r w:rsidR="00B45BDD">
        <w:t>S</w:t>
      </w:r>
      <w:r>
        <w:t xml:space="preserve">tatutory </w:t>
      </w:r>
      <w:r w:rsidR="00B45BDD">
        <w:t>G</w:t>
      </w:r>
      <w:r>
        <w:t>uidance.</w:t>
      </w:r>
    </w:p>
    <w:p w14:paraId="7D85FEC4" w14:textId="2FFEF168" w:rsidR="00F64A00" w:rsidRPr="00EE4BA4" w:rsidRDefault="00F64A00" w:rsidP="00F97562">
      <w:pPr>
        <w:rPr>
          <w:u w:val="single"/>
        </w:rPr>
      </w:pPr>
      <w:r w:rsidRPr="00EE4BA4">
        <w:rPr>
          <w:u w:val="single"/>
        </w:rPr>
        <w:t xml:space="preserve">Appointment of an Appropriate Body for </w:t>
      </w:r>
      <w:r w:rsidR="00BD117F">
        <w:rPr>
          <w:u w:val="single"/>
        </w:rPr>
        <w:t>ECT</w:t>
      </w:r>
      <w:r w:rsidRPr="00EE4BA4">
        <w:rPr>
          <w:u w:val="single"/>
        </w:rPr>
        <w:t xml:space="preserve"> Induction</w:t>
      </w:r>
    </w:p>
    <w:p w14:paraId="188B95AC" w14:textId="1909FE2B" w:rsidR="00116BDB" w:rsidRDefault="00116BDB" w:rsidP="00F97562">
      <w:r>
        <w:t>Prior to commencing employment, t</w:t>
      </w:r>
      <w:r w:rsidR="00F64A00">
        <w:t>he School/Academy</w:t>
      </w:r>
      <w:r w:rsidR="00BD5F63">
        <w:t xml:space="preserve"> </w:t>
      </w:r>
      <w:r w:rsidR="001C7930">
        <w:t xml:space="preserve">has </w:t>
      </w:r>
      <w:r w:rsidR="00BD5F63">
        <w:t>appointed Wiltshire Council as</w:t>
      </w:r>
      <w:r w:rsidR="001C7930">
        <w:t xml:space="preserve"> the</w:t>
      </w:r>
      <w:r w:rsidR="00BD5F63">
        <w:t xml:space="preserve"> </w:t>
      </w:r>
      <w:r w:rsidR="001C7930">
        <w:t>appropriate</w:t>
      </w:r>
      <w:r w:rsidR="00BD5F63">
        <w:t xml:space="preserve"> </w:t>
      </w:r>
      <w:r w:rsidR="001C7930">
        <w:t>body</w:t>
      </w:r>
      <w:r w:rsidR="00BD5F63">
        <w:t xml:space="preserve"> to oversee the induction of </w:t>
      </w:r>
      <w:r w:rsidR="00BD117F">
        <w:t>ECTs</w:t>
      </w:r>
      <w:r w:rsidR="00746781">
        <w:t>.</w:t>
      </w:r>
    </w:p>
    <w:p w14:paraId="3DF9B3B0" w14:textId="77777777" w:rsidR="00EE4BA4" w:rsidRPr="00EE4BA4" w:rsidRDefault="00EE4BA4" w:rsidP="00F97562">
      <w:pPr>
        <w:rPr>
          <w:u w:val="single"/>
        </w:rPr>
      </w:pPr>
      <w:r w:rsidRPr="00EE4BA4">
        <w:rPr>
          <w:u w:val="single"/>
        </w:rPr>
        <w:t>The post</w:t>
      </w:r>
    </w:p>
    <w:p w14:paraId="2F6F365D" w14:textId="2E9058B6" w:rsidR="00F64A00" w:rsidRDefault="00116BDB" w:rsidP="00F97562">
      <w:r>
        <w:t xml:space="preserve">Prior to advertising a post, the HT shall decide if it is a suitable post for the induction of </w:t>
      </w:r>
      <w:r w:rsidR="00BD117F">
        <w:t>ECT</w:t>
      </w:r>
      <w:r>
        <w:t>s and mark the advertisement appropriately</w:t>
      </w:r>
      <w:r w:rsidR="00BD5F63">
        <w:t>.</w:t>
      </w:r>
      <w:r>
        <w:t xml:space="preserve"> To be suitable the school must be able to provide:</w:t>
      </w:r>
    </w:p>
    <w:p w14:paraId="588555F1" w14:textId="7633E8FF" w:rsidR="00116BDB" w:rsidRPr="00B45BDD" w:rsidRDefault="00116BDB" w:rsidP="00116BDB">
      <w:pPr>
        <w:pStyle w:val="ListParagraph"/>
        <w:numPr>
          <w:ilvl w:val="0"/>
          <w:numId w:val="1"/>
        </w:numPr>
      </w:pPr>
      <w:r w:rsidRPr="00B45BDD">
        <w:t>An additional 10%</w:t>
      </w:r>
      <w:r w:rsidR="00746781" w:rsidRPr="00B45BDD">
        <w:t xml:space="preserve"> of</w:t>
      </w:r>
      <w:r w:rsidRPr="00B45BDD">
        <w:t xml:space="preserve"> non-contact time</w:t>
      </w:r>
      <w:r w:rsidR="00B45BDD" w:rsidRPr="00B45BDD">
        <w:t xml:space="preserve"> in the 1</w:t>
      </w:r>
      <w:r w:rsidR="00B45BDD" w:rsidRPr="00B45BDD">
        <w:rPr>
          <w:vertAlign w:val="superscript"/>
        </w:rPr>
        <w:t>st</w:t>
      </w:r>
      <w:r w:rsidR="00B45BDD" w:rsidRPr="00B45BDD">
        <w:t xml:space="preserve"> year and 5% in the 2</w:t>
      </w:r>
      <w:r w:rsidR="00B45BDD" w:rsidRPr="00B45BDD">
        <w:rPr>
          <w:vertAlign w:val="superscript"/>
        </w:rPr>
        <w:t>nd</w:t>
      </w:r>
      <w:r w:rsidR="00B45BDD" w:rsidRPr="00B45BDD">
        <w:t xml:space="preserve"> year</w:t>
      </w:r>
    </w:p>
    <w:p w14:paraId="731F09DB" w14:textId="77777777" w:rsidR="00B45BDD" w:rsidRPr="00B45BDD" w:rsidRDefault="00B45BDD" w:rsidP="00B45BDD">
      <w:pPr>
        <w:pStyle w:val="ListParagraph"/>
        <w:numPr>
          <w:ilvl w:val="0"/>
          <w:numId w:val="1"/>
        </w:numPr>
      </w:pPr>
      <w:r w:rsidRPr="00B45BDD">
        <w:t>Access to an Early Career Framework based induction programme</w:t>
      </w:r>
    </w:p>
    <w:p w14:paraId="0E3ED552" w14:textId="0C1F7DDA" w:rsidR="00116BDB" w:rsidRPr="00B45BDD" w:rsidRDefault="00116BDB" w:rsidP="00116BDB">
      <w:pPr>
        <w:pStyle w:val="ListParagraph"/>
        <w:numPr>
          <w:ilvl w:val="0"/>
          <w:numId w:val="1"/>
        </w:numPr>
      </w:pPr>
      <w:r w:rsidRPr="00B45BDD">
        <w:t xml:space="preserve">An experienced teacher with QTS to act as </w:t>
      </w:r>
      <w:r w:rsidR="00B45BDD" w:rsidRPr="00B45BDD">
        <w:t>I</w:t>
      </w:r>
      <w:r w:rsidRPr="00B45BDD">
        <w:t xml:space="preserve">nduction </w:t>
      </w:r>
      <w:r w:rsidR="00B45BDD" w:rsidRPr="00B45BDD">
        <w:t>T</w:t>
      </w:r>
      <w:r w:rsidRPr="00B45BDD">
        <w:t>utor</w:t>
      </w:r>
    </w:p>
    <w:p w14:paraId="2F2BD935" w14:textId="29B88560" w:rsidR="00B45BDD" w:rsidRPr="00B45BDD" w:rsidRDefault="00B45BDD" w:rsidP="00116BDB">
      <w:pPr>
        <w:pStyle w:val="ListParagraph"/>
        <w:numPr>
          <w:ilvl w:val="0"/>
          <w:numId w:val="1"/>
        </w:numPr>
      </w:pPr>
      <w:r w:rsidRPr="00B45BDD">
        <w:t>An experienced teacher with QTS to act as ECF Mentor</w:t>
      </w:r>
    </w:p>
    <w:p w14:paraId="1B8A6B4E" w14:textId="4FC25C27" w:rsidR="00116BDB" w:rsidRPr="00B45BDD" w:rsidRDefault="00116BDB" w:rsidP="00116BDB">
      <w:pPr>
        <w:pStyle w:val="ListParagraph"/>
        <w:numPr>
          <w:ilvl w:val="0"/>
          <w:numId w:val="1"/>
        </w:numPr>
      </w:pPr>
      <w:r w:rsidRPr="00B45BDD">
        <w:t>A post where the teacher regularly plans for the needs of the same class</w:t>
      </w:r>
      <w:r w:rsidR="00746781" w:rsidRPr="00B45BDD">
        <w:t>,</w:t>
      </w:r>
      <w:r w:rsidRPr="00B45BDD">
        <w:t xml:space="preserve"> or classes</w:t>
      </w:r>
    </w:p>
    <w:p w14:paraId="284351E0" w14:textId="08CA0BE6" w:rsidR="00EE4BA4" w:rsidRPr="00B45BDD" w:rsidRDefault="00EE4BA4" w:rsidP="00116BDB">
      <w:pPr>
        <w:pStyle w:val="ListParagraph"/>
        <w:numPr>
          <w:ilvl w:val="0"/>
          <w:numId w:val="1"/>
        </w:numPr>
      </w:pPr>
      <w:r w:rsidRPr="00B45BDD">
        <w:t>A contract that is at least 65 days in length</w:t>
      </w:r>
    </w:p>
    <w:p w14:paraId="4A373B6A" w14:textId="0875C71A" w:rsidR="00B45BDD" w:rsidRPr="00B45BDD" w:rsidRDefault="00B45BDD" w:rsidP="00116BDB">
      <w:pPr>
        <w:pStyle w:val="ListParagraph"/>
        <w:numPr>
          <w:ilvl w:val="0"/>
          <w:numId w:val="1"/>
        </w:numPr>
      </w:pPr>
      <w:r w:rsidRPr="00B45BDD">
        <w:t>The requirements outlined in Section 2.17 of the Statutory Guidance.</w:t>
      </w:r>
    </w:p>
    <w:p w14:paraId="39A8BD3E" w14:textId="78D4E3F7" w:rsidR="00EE4BA4" w:rsidRDefault="00EE4BA4" w:rsidP="00EE4BA4">
      <w:r>
        <w:t xml:space="preserve">The Governing Body should also consider if the school has the capacity to support an </w:t>
      </w:r>
      <w:r w:rsidR="00BD117F">
        <w:t>ECT</w:t>
      </w:r>
      <w:r w:rsidR="005B2A57">
        <w:t>,</w:t>
      </w:r>
      <w:r>
        <w:t xml:space="preserve"> bearing in mind:</w:t>
      </w:r>
    </w:p>
    <w:p w14:paraId="1970B636" w14:textId="77777777" w:rsidR="00EE4BA4" w:rsidRDefault="00EE4BA4" w:rsidP="00EE4BA4">
      <w:pPr>
        <w:pStyle w:val="ListParagraph"/>
        <w:numPr>
          <w:ilvl w:val="0"/>
          <w:numId w:val="2"/>
        </w:numPr>
      </w:pPr>
      <w:r>
        <w:t>The experience and expertise of the rest of the teaching staff</w:t>
      </w:r>
    </w:p>
    <w:p w14:paraId="140B026C" w14:textId="262F1BE0" w:rsidR="00EE4BA4" w:rsidRDefault="00EE4BA4" w:rsidP="00EE4BA4">
      <w:pPr>
        <w:pStyle w:val="ListParagraph"/>
        <w:numPr>
          <w:ilvl w:val="0"/>
          <w:numId w:val="2"/>
        </w:numPr>
      </w:pPr>
      <w:r>
        <w:t xml:space="preserve">The fact that an </w:t>
      </w:r>
      <w:r w:rsidR="00BD117F">
        <w:t>ECT</w:t>
      </w:r>
      <w:r>
        <w:t xml:space="preserve"> should not ideally mentor students, lead subjects or undertake significant numbers of additional duties.</w:t>
      </w:r>
    </w:p>
    <w:p w14:paraId="0568A3AF" w14:textId="2DCD557C" w:rsidR="00116BDB" w:rsidRDefault="00116BDB" w:rsidP="00116BDB">
      <w:r>
        <w:t xml:space="preserve">Prior to the contract commencing, the HT should give consideration as to the class/classes </w:t>
      </w:r>
      <w:r w:rsidR="00533C7A">
        <w:t>to be</w:t>
      </w:r>
      <w:r>
        <w:t xml:space="preserve"> taught</w:t>
      </w:r>
      <w:r w:rsidR="00FC33E2">
        <w:t xml:space="preserve">, </w:t>
      </w:r>
      <w:r>
        <w:t>ensuring that they are not unreasonably demanding for the setting.</w:t>
      </w:r>
    </w:p>
    <w:p w14:paraId="295F64B9" w14:textId="411BB456" w:rsidR="00BD117F" w:rsidRDefault="00BD117F" w:rsidP="00116BDB">
      <w:pPr>
        <w:rPr>
          <w:u w:val="single"/>
        </w:rPr>
      </w:pPr>
      <w:r>
        <w:rPr>
          <w:u w:val="single"/>
        </w:rPr>
        <w:t>ECF</w:t>
      </w:r>
    </w:p>
    <w:p w14:paraId="346F290D" w14:textId="72D47752" w:rsidR="00611B6C" w:rsidRDefault="00611B6C" w:rsidP="00611B6C">
      <w:pPr>
        <w:pStyle w:val="Default"/>
        <w:rPr>
          <w:rFonts w:asciiTheme="minorHAnsi" w:hAnsiTheme="minorHAnsi" w:cstheme="minorHAnsi"/>
          <w:sz w:val="22"/>
          <w:szCs w:val="22"/>
        </w:rPr>
      </w:pPr>
      <w:r>
        <w:rPr>
          <w:rFonts w:asciiTheme="minorHAnsi" w:hAnsiTheme="minorHAnsi" w:cstheme="minorHAnsi"/>
          <w:sz w:val="22"/>
          <w:szCs w:val="22"/>
        </w:rPr>
        <w:t>The school will</w:t>
      </w:r>
      <w:r w:rsidRPr="00611B6C">
        <w:rPr>
          <w:rFonts w:asciiTheme="minorHAnsi" w:hAnsiTheme="minorHAnsi" w:cstheme="minorHAnsi"/>
          <w:sz w:val="22"/>
          <w:szCs w:val="22"/>
        </w:rPr>
        <w:t xml:space="preserve"> ensure that ECTs receive a programme of training that enables the ECT to understand and apply the knowledge and skills set out in each of the ECF evidence (‘learn that’) statements and practice (‘learn how to’) statements. </w:t>
      </w:r>
    </w:p>
    <w:p w14:paraId="5BF2721C" w14:textId="7F10769B" w:rsidR="00611B6C" w:rsidRDefault="00611B6C" w:rsidP="00611B6C">
      <w:pPr>
        <w:pStyle w:val="Default"/>
        <w:rPr>
          <w:rFonts w:asciiTheme="minorHAnsi" w:hAnsiTheme="minorHAnsi" w:cstheme="minorHAnsi"/>
          <w:sz w:val="22"/>
          <w:szCs w:val="22"/>
        </w:rPr>
      </w:pPr>
    </w:p>
    <w:p w14:paraId="35A321BA" w14:textId="59265F9F" w:rsidR="00611B6C" w:rsidRDefault="00611B6C" w:rsidP="00611B6C">
      <w:pPr>
        <w:pStyle w:val="Default"/>
        <w:rPr>
          <w:rFonts w:asciiTheme="minorHAnsi" w:hAnsiTheme="minorHAnsi" w:cstheme="minorHAnsi"/>
          <w:sz w:val="22"/>
          <w:szCs w:val="22"/>
        </w:rPr>
      </w:pPr>
      <w:r>
        <w:rPr>
          <w:rFonts w:asciiTheme="minorHAnsi" w:hAnsiTheme="minorHAnsi" w:cstheme="minorHAnsi"/>
          <w:sz w:val="22"/>
          <w:szCs w:val="22"/>
        </w:rPr>
        <w:lastRenderedPageBreak/>
        <w:t>As a school we will provide ECTs with: (delete as appropriate)</w:t>
      </w:r>
    </w:p>
    <w:p w14:paraId="2AA32AA5" w14:textId="3CC19586" w:rsidR="00611B6C" w:rsidRDefault="00611B6C" w:rsidP="00611B6C">
      <w:pPr>
        <w:pStyle w:val="ListParagraph"/>
        <w:numPr>
          <w:ilvl w:val="0"/>
          <w:numId w:val="6"/>
        </w:numPr>
        <w:autoSpaceDE w:val="0"/>
        <w:autoSpaceDN w:val="0"/>
        <w:adjustRightInd w:val="0"/>
        <w:spacing w:after="0" w:line="240" w:lineRule="auto"/>
        <w:rPr>
          <w:rFonts w:cstheme="minorHAnsi"/>
          <w:color w:val="000000"/>
        </w:rPr>
      </w:pPr>
      <w:r>
        <w:rPr>
          <w:rFonts w:cstheme="minorHAnsi"/>
          <w:b/>
          <w:bCs/>
          <w:color w:val="000000"/>
        </w:rPr>
        <w:t xml:space="preserve">A Full Induction Programme: </w:t>
      </w:r>
      <w:r>
        <w:rPr>
          <w:rFonts w:cstheme="minorHAnsi"/>
          <w:color w:val="000000"/>
        </w:rPr>
        <w:t>a</w:t>
      </w:r>
      <w:r w:rsidRPr="00611B6C">
        <w:rPr>
          <w:rFonts w:cstheme="minorHAnsi"/>
          <w:color w:val="000000"/>
        </w:rPr>
        <w:t xml:space="preserve"> funded provider led programme through</w:t>
      </w:r>
      <w:r>
        <w:rPr>
          <w:rFonts w:cstheme="minorHAnsi"/>
          <w:color w:val="000000"/>
        </w:rPr>
        <w:t xml:space="preserve"> </w:t>
      </w:r>
      <w:r w:rsidR="00D66B9F">
        <w:rPr>
          <w:rFonts w:cstheme="minorHAnsi"/>
          <w:color w:val="000000"/>
        </w:rPr>
        <w:t>ECF Pickwick Learning Programme.</w:t>
      </w:r>
    </w:p>
    <w:p w14:paraId="5EE219D0" w14:textId="77777777" w:rsidR="00611B6C" w:rsidRDefault="00611B6C" w:rsidP="00116BDB">
      <w:pPr>
        <w:rPr>
          <w:u w:val="single"/>
        </w:rPr>
      </w:pPr>
    </w:p>
    <w:p w14:paraId="1A5C17C4" w14:textId="7C2B6F72" w:rsidR="00EE4BA4" w:rsidRDefault="00EE4BA4" w:rsidP="00116BDB">
      <w:pPr>
        <w:rPr>
          <w:u w:val="single"/>
        </w:rPr>
      </w:pPr>
      <w:r w:rsidRPr="00EE4BA4">
        <w:rPr>
          <w:u w:val="single"/>
        </w:rPr>
        <w:t>Personalised programme</w:t>
      </w:r>
    </w:p>
    <w:p w14:paraId="5A086D9A" w14:textId="2FFD9A22" w:rsidR="00EE4BA4" w:rsidRDefault="00EE4BA4" w:rsidP="00116BDB">
      <w:r w:rsidRPr="00EE4BA4">
        <w:t xml:space="preserve">The </w:t>
      </w:r>
      <w:r w:rsidR="00FC33E2">
        <w:t xml:space="preserve">school </w:t>
      </w:r>
      <w:r w:rsidRPr="00EE4BA4">
        <w:t xml:space="preserve">believes in investing in its staff and consequently aims to provide personalised support </w:t>
      </w:r>
      <w:r w:rsidR="00611B6C">
        <w:t>in addition to the ECF training</w:t>
      </w:r>
      <w:r w:rsidRPr="00EE4BA4">
        <w:t xml:space="preserve">, which considers the </w:t>
      </w:r>
      <w:r>
        <w:t xml:space="preserve">developmental needs of the </w:t>
      </w:r>
      <w:r w:rsidR="00BD117F">
        <w:t>ECT</w:t>
      </w:r>
      <w:r>
        <w:t>.</w:t>
      </w:r>
    </w:p>
    <w:p w14:paraId="10619E04" w14:textId="33B04471" w:rsidR="00EE4BA4" w:rsidRDefault="00EE4BA4" w:rsidP="00116BDB">
      <w:r>
        <w:t>This should include:</w:t>
      </w:r>
    </w:p>
    <w:p w14:paraId="0BF7B69B" w14:textId="2F0EE5EA" w:rsidR="00EE4BA4" w:rsidRDefault="00EE4BA4" w:rsidP="00EE4BA4">
      <w:pPr>
        <w:pStyle w:val="ListParagraph"/>
        <w:numPr>
          <w:ilvl w:val="0"/>
          <w:numId w:val="3"/>
        </w:numPr>
      </w:pPr>
      <w:r>
        <w:t>The opportunity to observe high quality teaching within the school and within other local schools</w:t>
      </w:r>
      <w:r w:rsidR="00611B6C">
        <w:t>.</w:t>
      </w:r>
    </w:p>
    <w:p w14:paraId="61361A6F" w14:textId="585FAB30" w:rsidR="002E14CA" w:rsidRDefault="00367115" w:rsidP="002E14CA">
      <w:pPr>
        <w:pStyle w:val="ListParagraph"/>
        <w:numPr>
          <w:ilvl w:val="0"/>
          <w:numId w:val="3"/>
        </w:numPr>
      </w:pPr>
      <w:r>
        <w:t xml:space="preserve">Regular meetings with a suitably trained </w:t>
      </w:r>
      <w:r w:rsidR="00BD117F">
        <w:t>ECF mentor and Induction Tutor</w:t>
      </w:r>
      <w:r>
        <w:t xml:space="preserve"> to discuss emerging issues</w:t>
      </w:r>
      <w:r w:rsidR="00611B6C">
        <w:t>.</w:t>
      </w:r>
    </w:p>
    <w:p w14:paraId="5B760462" w14:textId="083E20BC" w:rsidR="00367115" w:rsidRDefault="00367115" w:rsidP="00EE4BA4">
      <w:pPr>
        <w:pStyle w:val="ListParagraph"/>
        <w:numPr>
          <w:ilvl w:val="0"/>
          <w:numId w:val="3"/>
        </w:numPr>
      </w:pPr>
      <w:r>
        <w:t xml:space="preserve">A commitment to </w:t>
      </w:r>
      <w:r w:rsidR="00CB3C66">
        <w:t xml:space="preserve">provide the opportunity to </w:t>
      </w:r>
      <w:r>
        <w:t>attend some external CPD</w:t>
      </w:r>
      <w:r w:rsidR="00611B6C">
        <w:t xml:space="preserve"> as required.</w:t>
      </w:r>
    </w:p>
    <w:p w14:paraId="5993042F" w14:textId="527A86E4" w:rsidR="00367115" w:rsidRDefault="00367115" w:rsidP="00EE4BA4">
      <w:pPr>
        <w:pStyle w:val="ListParagraph"/>
        <w:numPr>
          <w:ilvl w:val="0"/>
          <w:numId w:val="3"/>
        </w:numPr>
      </w:pPr>
      <w:r>
        <w:t>The opportunity to discuss key issues with colleagues, especially curriculum leaders, SENCOs and those responsible for pastoral care</w:t>
      </w:r>
      <w:r w:rsidR="00611B6C">
        <w:t>.</w:t>
      </w:r>
    </w:p>
    <w:p w14:paraId="78145E15" w14:textId="4195B451" w:rsidR="00367115" w:rsidRDefault="00367115" w:rsidP="00EE4BA4">
      <w:pPr>
        <w:pStyle w:val="ListParagraph"/>
        <w:numPr>
          <w:ilvl w:val="0"/>
          <w:numId w:val="3"/>
        </w:numPr>
      </w:pPr>
      <w:r>
        <w:t xml:space="preserve">Being observed by their </w:t>
      </w:r>
      <w:r w:rsidR="00BD117F">
        <w:t>I</w:t>
      </w:r>
      <w:r>
        <w:t xml:space="preserve">nduction </w:t>
      </w:r>
      <w:r w:rsidR="00BD117F">
        <w:t>T</w:t>
      </w:r>
      <w:r>
        <w:t>utor each Wiltshire term, being given written feedback and having the opportunity to discuss the lesson in a supportive environment</w:t>
      </w:r>
      <w:r w:rsidR="00611B6C">
        <w:t>.</w:t>
      </w:r>
    </w:p>
    <w:p w14:paraId="406A31C2" w14:textId="273358F3" w:rsidR="00367115" w:rsidRDefault="00367115" w:rsidP="00EE4BA4">
      <w:pPr>
        <w:pStyle w:val="ListParagraph"/>
        <w:numPr>
          <w:ilvl w:val="0"/>
          <w:numId w:val="3"/>
        </w:numPr>
      </w:pPr>
      <w:r>
        <w:t>A supportive action plan that is reviewed each Wiltshire term</w:t>
      </w:r>
      <w:r w:rsidR="0046309B">
        <w:t xml:space="preserve"> where no more than 4 next steps are identified</w:t>
      </w:r>
      <w:r w:rsidR="00611B6C">
        <w:t>.</w:t>
      </w:r>
    </w:p>
    <w:p w14:paraId="4503A922" w14:textId="77E82DBA" w:rsidR="00367115" w:rsidRDefault="00367115" w:rsidP="00EE4BA4">
      <w:pPr>
        <w:pStyle w:val="ListParagraph"/>
        <w:numPr>
          <w:ilvl w:val="0"/>
          <w:numId w:val="3"/>
        </w:numPr>
      </w:pPr>
      <w:r>
        <w:t xml:space="preserve">A </w:t>
      </w:r>
      <w:r w:rsidR="00BD117F">
        <w:t>progress check</w:t>
      </w:r>
      <w:r>
        <w:t xml:space="preserve"> against the Teacher Standards each seasonal term </w:t>
      </w:r>
      <w:r w:rsidR="00BD117F">
        <w:t xml:space="preserve">when a formal assessment does not take place </w:t>
      </w:r>
      <w:r>
        <w:t>(or 65 contracted days</w:t>
      </w:r>
      <w:r w:rsidR="00DE5C90">
        <w:t xml:space="preserve"> </w:t>
      </w:r>
      <w:r>
        <w:t>in the case of a part-time contract</w:t>
      </w:r>
      <w:r w:rsidR="00C96995">
        <w:t>)</w:t>
      </w:r>
      <w:r w:rsidR="00611B6C">
        <w:t>.</w:t>
      </w:r>
    </w:p>
    <w:p w14:paraId="029A6069" w14:textId="212F3567" w:rsidR="00BD117F" w:rsidRDefault="00BD117F" w:rsidP="00EE4BA4">
      <w:pPr>
        <w:pStyle w:val="ListParagraph"/>
        <w:numPr>
          <w:ilvl w:val="0"/>
          <w:numId w:val="3"/>
        </w:numPr>
      </w:pPr>
      <w:r>
        <w:t>A formal assessment against the Teacher Standards at the end of each academic year (or equivalent for part-time contracts)</w:t>
      </w:r>
      <w:r w:rsidR="00611B6C">
        <w:t>.</w:t>
      </w:r>
    </w:p>
    <w:p w14:paraId="3F1D6E17" w14:textId="77777777" w:rsidR="00BD117F" w:rsidRDefault="00BD117F" w:rsidP="00BD117F">
      <w:pPr>
        <w:pStyle w:val="ListParagraph"/>
      </w:pPr>
    </w:p>
    <w:p w14:paraId="5FD29DC8" w14:textId="77777777" w:rsidR="001D5111" w:rsidRDefault="001D5111" w:rsidP="00BD117F">
      <w:pPr>
        <w:pStyle w:val="ListParagraph"/>
      </w:pPr>
    </w:p>
    <w:p w14:paraId="2DFBDAE6" w14:textId="77777777" w:rsidR="001D5111" w:rsidRDefault="001D5111" w:rsidP="00BD117F">
      <w:pPr>
        <w:pStyle w:val="ListParagraph"/>
      </w:pPr>
    </w:p>
    <w:p w14:paraId="320969D8" w14:textId="77777777" w:rsidR="001D5111" w:rsidRDefault="001D5111" w:rsidP="00BD117F">
      <w:pPr>
        <w:pStyle w:val="ListParagraph"/>
      </w:pPr>
    </w:p>
    <w:p w14:paraId="2E2E5777" w14:textId="77777777" w:rsidR="001D5111" w:rsidRDefault="001D5111" w:rsidP="00BD117F">
      <w:pPr>
        <w:pStyle w:val="ListParagraph"/>
      </w:pPr>
    </w:p>
    <w:p w14:paraId="387C4608" w14:textId="16A89447" w:rsidR="00367115" w:rsidRPr="0085128D" w:rsidRDefault="0085128D" w:rsidP="0085128D">
      <w:pPr>
        <w:ind w:left="360"/>
        <w:rPr>
          <w:u w:val="single"/>
        </w:rPr>
      </w:pPr>
      <w:r w:rsidRPr="0085128D">
        <w:rPr>
          <w:u w:val="single"/>
        </w:rPr>
        <w:t>Legal duties</w:t>
      </w:r>
    </w:p>
    <w:p w14:paraId="12978217" w14:textId="5D1F2B41" w:rsidR="00EE4BA4" w:rsidRDefault="0085128D" w:rsidP="00116BDB">
      <w:r>
        <w:t>The school will:</w:t>
      </w:r>
    </w:p>
    <w:p w14:paraId="0FCB3A34" w14:textId="083077A0" w:rsidR="0085128D" w:rsidRDefault="0085128D" w:rsidP="0085128D">
      <w:pPr>
        <w:pStyle w:val="ListParagraph"/>
        <w:numPr>
          <w:ilvl w:val="0"/>
          <w:numId w:val="4"/>
        </w:numPr>
      </w:pPr>
      <w:r>
        <w:t xml:space="preserve">Ensure the </w:t>
      </w:r>
      <w:r w:rsidR="00B45BDD">
        <w:t>ECT</w:t>
      </w:r>
      <w:r>
        <w:t xml:space="preserve"> is aware of the named contact for </w:t>
      </w:r>
      <w:r w:rsidR="00B45BDD">
        <w:t>ECT</w:t>
      </w:r>
      <w:r>
        <w:t xml:space="preserve"> Induction at Wiltshire Council – For the academic year </w:t>
      </w:r>
      <w:r w:rsidR="003D436D">
        <w:t>202</w:t>
      </w:r>
      <w:r w:rsidR="00B45BDD">
        <w:t>1</w:t>
      </w:r>
      <w:r w:rsidR="003D436D">
        <w:t>-2</w:t>
      </w:r>
      <w:r w:rsidR="00B45BDD">
        <w:t>2</w:t>
      </w:r>
      <w:r>
        <w:t xml:space="preserve"> this is Jane Margetts</w:t>
      </w:r>
      <w:r w:rsidR="00B45BDD">
        <w:t xml:space="preserve"> </w:t>
      </w:r>
      <w:hyperlink r:id="rId12" w:history="1">
        <w:r w:rsidR="00B45BDD" w:rsidRPr="00E31428">
          <w:rPr>
            <w:rStyle w:val="Hyperlink"/>
          </w:rPr>
          <w:t>jane.margetts@wilsthire.gov.uk</w:t>
        </w:r>
      </w:hyperlink>
      <w:r w:rsidR="00B45BDD">
        <w:t xml:space="preserve"> </w:t>
      </w:r>
      <w:r w:rsidR="00C96995">
        <w:t>.</w:t>
      </w:r>
    </w:p>
    <w:p w14:paraId="2A976A9D" w14:textId="36D17B83" w:rsidR="00C735EB" w:rsidRPr="00C735EB" w:rsidRDefault="00E54EF1" w:rsidP="00C735EB">
      <w:pPr>
        <w:pStyle w:val="ListParagraph"/>
        <w:numPr>
          <w:ilvl w:val="0"/>
          <w:numId w:val="4"/>
        </w:numPr>
      </w:pPr>
      <w:r>
        <w:t xml:space="preserve">Retain </w:t>
      </w:r>
      <w:r w:rsidR="00B45BDD">
        <w:t>copies of any paperwork and</w:t>
      </w:r>
      <w:r>
        <w:t xml:space="preserve"> completed assessment securely for 6 years</w:t>
      </w:r>
      <w:r w:rsidR="00F36992">
        <w:t xml:space="preserve">. If an </w:t>
      </w:r>
      <w:r w:rsidR="00B45BDD">
        <w:t>ECT</w:t>
      </w:r>
      <w:r w:rsidR="00F36992">
        <w:t xml:space="preserve"> leaves during</w:t>
      </w:r>
      <w:r w:rsidR="00061CFE">
        <w:t xml:space="preserve">, </w:t>
      </w:r>
      <w:r w:rsidR="00F36992">
        <w:t>or at the end of</w:t>
      </w:r>
      <w:r w:rsidR="00704C62">
        <w:t xml:space="preserve">, </w:t>
      </w:r>
      <w:r w:rsidR="00F36992">
        <w:t>their induction year they will be given copies of their assessments.</w:t>
      </w:r>
    </w:p>
    <w:p w14:paraId="0DE1D23E" w14:textId="44494BAB" w:rsidR="00C735EB" w:rsidRPr="00C735EB" w:rsidRDefault="00B45BDD" w:rsidP="00C735EB">
      <w:pPr>
        <w:pStyle w:val="ListParagraph"/>
        <w:numPr>
          <w:ilvl w:val="0"/>
          <w:numId w:val="4"/>
        </w:numPr>
      </w:pPr>
      <w:r>
        <w:lastRenderedPageBreak/>
        <w:t>S</w:t>
      </w:r>
      <w:r w:rsidR="00D91330">
        <w:t>hare</w:t>
      </w:r>
      <w:r w:rsidR="00C735EB" w:rsidRPr="00C735EB">
        <w:t xml:space="preserve"> general reports on the progress of </w:t>
      </w:r>
      <w:r>
        <w:t>an ECT</w:t>
      </w:r>
      <w:r w:rsidR="00C735EB" w:rsidRPr="00C735EB">
        <w:t xml:space="preserve"> on a termly basis </w:t>
      </w:r>
      <w:r w:rsidR="00D91330">
        <w:t xml:space="preserve">with the governing body </w:t>
      </w:r>
      <w:r w:rsidR="00C735EB" w:rsidRPr="00C735EB">
        <w:t xml:space="preserve">but </w:t>
      </w:r>
      <w:r>
        <w:t>they are</w:t>
      </w:r>
      <w:r w:rsidR="00C735EB" w:rsidRPr="00C735EB">
        <w:t xml:space="preserve"> not automatically entitled to have access to an individual’s assessment forms. The exception to this would be when an </w:t>
      </w:r>
      <w:r>
        <w:t>ECT</w:t>
      </w:r>
      <w:r w:rsidR="00C735EB" w:rsidRPr="00C735EB">
        <w:t xml:space="preserve"> has raised concerns about a particular issue/assessment via the grievance procedures</w:t>
      </w:r>
      <w:r>
        <w:t>.</w:t>
      </w:r>
      <w:r w:rsidR="00C735EB" w:rsidRPr="00C735EB">
        <w:t xml:space="preserve"> </w:t>
      </w:r>
    </w:p>
    <w:p w14:paraId="6792D3DA" w14:textId="7C953271" w:rsidR="00C735EB" w:rsidRDefault="005B47C1" w:rsidP="0085128D">
      <w:pPr>
        <w:pStyle w:val="ListParagraph"/>
        <w:numPr>
          <w:ilvl w:val="0"/>
          <w:numId w:val="4"/>
        </w:numPr>
      </w:pPr>
      <w:r>
        <w:t xml:space="preserve">Ensure that it meets the legal requirements detailed within the statutory </w:t>
      </w:r>
      <w:r w:rsidR="00B45BDD">
        <w:t>ECT</w:t>
      </w:r>
      <w:r>
        <w:t xml:space="preserve"> induction </w:t>
      </w:r>
      <w:r w:rsidRPr="00611B6C">
        <w:t>guidance.</w:t>
      </w:r>
      <w:r w:rsidR="007F3292" w:rsidRPr="00611B6C">
        <w:t xml:space="preserve"> Sections 5.3-5.</w:t>
      </w:r>
      <w:r w:rsidR="00611B6C" w:rsidRPr="00611B6C">
        <w:t>7</w:t>
      </w:r>
      <w:r w:rsidR="009D03EA" w:rsidRPr="00611B6C">
        <w:t xml:space="preserve"> and 5.1</w:t>
      </w:r>
      <w:r w:rsidR="00611B6C" w:rsidRPr="00611B6C">
        <w:t>3</w:t>
      </w:r>
    </w:p>
    <w:p w14:paraId="0F67263B" w14:textId="467406A9" w:rsidR="00247413" w:rsidRDefault="00247413" w:rsidP="00247413">
      <w:r>
        <w:t xml:space="preserve">If the </w:t>
      </w:r>
      <w:r w:rsidR="00B45BDD">
        <w:t>ECT</w:t>
      </w:r>
      <w:r>
        <w:t>s performance is a concern, the school is committed to:</w:t>
      </w:r>
    </w:p>
    <w:p w14:paraId="70727454" w14:textId="69F03EAC" w:rsidR="00247413" w:rsidRDefault="00247413" w:rsidP="00247413">
      <w:pPr>
        <w:pStyle w:val="ListParagraph"/>
        <w:numPr>
          <w:ilvl w:val="0"/>
          <w:numId w:val="5"/>
        </w:numPr>
      </w:pPr>
      <w:r>
        <w:t>Provid</w:t>
      </w:r>
      <w:r w:rsidR="00F74E0B">
        <w:t xml:space="preserve">ing </w:t>
      </w:r>
      <w:r>
        <w:t>additional resource</w:t>
      </w:r>
      <w:r w:rsidR="00E67A99">
        <w:t xml:space="preserve">s </w:t>
      </w:r>
      <w:r>
        <w:t>to support them</w:t>
      </w:r>
    </w:p>
    <w:p w14:paraId="4DF66E5F" w14:textId="3EC389DE" w:rsidR="00B2553B" w:rsidRDefault="00B2553B" w:rsidP="00247413">
      <w:pPr>
        <w:pStyle w:val="ListParagraph"/>
        <w:numPr>
          <w:ilvl w:val="0"/>
          <w:numId w:val="5"/>
        </w:numPr>
      </w:pPr>
      <w:r>
        <w:t>Inform</w:t>
      </w:r>
      <w:r w:rsidR="00F74E0B">
        <w:t xml:space="preserve">ing </w:t>
      </w:r>
      <w:r>
        <w:t xml:space="preserve">the </w:t>
      </w:r>
      <w:r w:rsidR="00B45BDD">
        <w:t>A</w:t>
      </w:r>
      <w:r w:rsidR="00E357F9">
        <w:t>ppropriate</w:t>
      </w:r>
      <w:r>
        <w:t xml:space="preserve"> </w:t>
      </w:r>
      <w:r w:rsidR="00B45BDD">
        <w:t>B</w:t>
      </w:r>
      <w:r w:rsidR="00E357F9">
        <w:t xml:space="preserve">ody </w:t>
      </w:r>
      <w:r>
        <w:t xml:space="preserve">immediately if their they feel their </w:t>
      </w:r>
      <w:r w:rsidR="00B45BDD">
        <w:t xml:space="preserve">ECT </w:t>
      </w:r>
      <w:r>
        <w:t>is not on track to pass induction</w:t>
      </w:r>
    </w:p>
    <w:p w14:paraId="4F87FA2C" w14:textId="6D7DC7C1" w:rsidR="00485447" w:rsidRDefault="00485447" w:rsidP="00247413">
      <w:pPr>
        <w:pStyle w:val="ListParagraph"/>
        <w:numPr>
          <w:ilvl w:val="0"/>
          <w:numId w:val="5"/>
        </w:numPr>
      </w:pPr>
      <w:r>
        <w:t>Work</w:t>
      </w:r>
      <w:r w:rsidR="00F74E0B">
        <w:t xml:space="preserve">ing </w:t>
      </w:r>
      <w:r>
        <w:t xml:space="preserve">with the </w:t>
      </w:r>
      <w:r w:rsidR="00B45BDD">
        <w:t xml:space="preserve">ECT </w:t>
      </w:r>
      <w:r>
        <w:t xml:space="preserve">and </w:t>
      </w:r>
      <w:r w:rsidR="00B45BDD">
        <w:t>A</w:t>
      </w:r>
      <w:r w:rsidR="00E357F9">
        <w:t xml:space="preserve">ppropriate </w:t>
      </w:r>
      <w:r w:rsidR="00B45BDD">
        <w:t>B</w:t>
      </w:r>
      <w:r w:rsidR="00E357F9">
        <w:t xml:space="preserve">ody </w:t>
      </w:r>
      <w:r>
        <w:t xml:space="preserve">to provide action plans that cover a </w:t>
      </w:r>
      <w:r w:rsidR="00721C56">
        <w:t>20-day</w:t>
      </w:r>
      <w:r>
        <w:t xml:space="preserve"> period detailing what the </w:t>
      </w:r>
      <w:r w:rsidR="00B45BDD">
        <w:t>ECT</w:t>
      </w:r>
      <w:r>
        <w:t xml:space="preserve"> needs to do to improve </w:t>
      </w:r>
      <w:r w:rsidR="00721C56">
        <w:t>and how the school will support him or her</w:t>
      </w:r>
      <w:r>
        <w:t>.</w:t>
      </w:r>
      <w:r w:rsidR="00721C56">
        <w:t xml:space="preserve"> These action plans will be reviewed</w:t>
      </w:r>
      <w:r w:rsidR="00793400">
        <w:t xml:space="preserve"> systematically </w:t>
      </w:r>
      <w:r w:rsidR="002538AE">
        <w:t>with a cycle of support and review continuing until the end of the academic year.</w:t>
      </w:r>
    </w:p>
    <w:p w14:paraId="673C91E9" w14:textId="77777777" w:rsidR="001D5111" w:rsidRPr="00EE4BA4" w:rsidRDefault="001D5111" w:rsidP="00247413">
      <w:pPr>
        <w:pStyle w:val="ListParagraph"/>
        <w:numPr>
          <w:ilvl w:val="0"/>
          <w:numId w:val="5"/>
        </w:numPr>
      </w:pPr>
    </w:p>
    <w:p w14:paraId="2D7A5AC8" w14:textId="77777777" w:rsidR="001D5111" w:rsidRPr="001D5111" w:rsidRDefault="001D5111" w:rsidP="001D5111">
      <w:pPr>
        <w:rPr>
          <w:b/>
          <w:sz w:val="26"/>
          <w:szCs w:val="26"/>
        </w:rPr>
      </w:pPr>
      <w:r w:rsidRPr="001D5111">
        <w:rPr>
          <w:b/>
          <w:sz w:val="26"/>
          <w:szCs w:val="26"/>
        </w:rPr>
        <w:t>Arrangements for monitoring, evaluation and review</w:t>
      </w:r>
    </w:p>
    <w:p w14:paraId="49F963D4" w14:textId="77777777" w:rsidR="001D5111" w:rsidRPr="00D639C4" w:rsidRDefault="001D5111" w:rsidP="001D5111">
      <w:pPr>
        <w:pStyle w:val="ListParagraph"/>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8"/>
        <w:gridCol w:w="3912"/>
      </w:tblGrid>
      <w:tr w:rsidR="001D5111" w:rsidRPr="00D639C4" w14:paraId="424471C0" w14:textId="77777777" w:rsidTr="002172F0">
        <w:tc>
          <w:tcPr>
            <w:tcW w:w="5098" w:type="dxa"/>
          </w:tcPr>
          <w:p w14:paraId="7F778631" w14:textId="77777777" w:rsidR="001D5111" w:rsidRPr="00D639C4" w:rsidRDefault="001D5111" w:rsidP="002172F0">
            <w:pPr>
              <w:rPr>
                <w:color w:val="000000" w:themeColor="text1"/>
                <w:sz w:val="22"/>
                <w:szCs w:val="22"/>
                <w:lang w:val="en-GB"/>
              </w:rPr>
            </w:pPr>
            <w:r w:rsidRPr="00D639C4">
              <w:rPr>
                <w:rStyle w:val="Heading1Char"/>
                <w:rFonts w:eastAsia="Arial Unicode MS"/>
                <w:b/>
                <w:color w:val="000000" w:themeColor="text1"/>
                <w:sz w:val="22"/>
                <w:szCs w:val="22"/>
              </w:rPr>
              <w:t>Responsible committee for monitoring &amp; evaluation</w:t>
            </w:r>
            <w:r>
              <w:rPr>
                <w:rStyle w:val="Heading1Char"/>
                <w:rFonts w:eastAsia="Arial Unicode MS"/>
                <w:b/>
                <w:color w:val="000000" w:themeColor="text1"/>
                <w:sz w:val="22"/>
                <w:szCs w:val="22"/>
              </w:rPr>
              <w:t>:</w:t>
            </w:r>
          </w:p>
        </w:tc>
        <w:tc>
          <w:tcPr>
            <w:tcW w:w="3912" w:type="dxa"/>
          </w:tcPr>
          <w:p w14:paraId="2763FF43" w14:textId="27D04879" w:rsidR="001D5111" w:rsidRPr="00D639C4" w:rsidRDefault="00211A77" w:rsidP="002172F0">
            <w:pPr>
              <w:rPr>
                <w:color w:val="000000" w:themeColor="text1"/>
                <w:sz w:val="22"/>
                <w:szCs w:val="22"/>
                <w:lang w:val="en-GB"/>
              </w:rPr>
            </w:pPr>
            <w:r>
              <w:rPr>
                <w:color w:val="000000" w:themeColor="text1"/>
                <w:sz w:val="22"/>
                <w:szCs w:val="22"/>
                <w:lang w:val="en-GB"/>
              </w:rPr>
              <w:t>FGB</w:t>
            </w:r>
          </w:p>
        </w:tc>
      </w:tr>
      <w:tr w:rsidR="001D5111" w:rsidRPr="00D639C4" w14:paraId="0EC83583" w14:textId="77777777" w:rsidTr="002172F0">
        <w:tc>
          <w:tcPr>
            <w:tcW w:w="5098" w:type="dxa"/>
          </w:tcPr>
          <w:p w14:paraId="56CCA65E" w14:textId="77777777" w:rsidR="001D5111" w:rsidRPr="00D639C4" w:rsidRDefault="001D5111" w:rsidP="002172F0">
            <w:pPr>
              <w:rPr>
                <w:color w:val="000000" w:themeColor="text1"/>
                <w:sz w:val="22"/>
                <w:szCs w:val="22"/>
                <w:lang w:val="en-GB"/>
              </w:rPr>
            </w:pPr>
            <w:r w:rsidRPr="00D639C4">
              <w:rPr>
                <w:rStyle w:val="Heading1Char"/>
                <w:rFonts w:eastAsia="Arial Unicode MS"/>
                <w:b/>
                <w:color w:val="000000" w:themeColor="text1"/>
                <w:sz w:val="22"/>
                <w:szCs w:val="22"/>
              </w:rPr>
              <w:t>Policy reviewed by</w:t>
            </w:r>
            <w:r>
              <w:rPr>
                <w:rStyle w:val="Heading1Char"/>
                <w:rFonts w:eastAsia="Arial Unicode MS"/>
                <w:b/>
                <w:color w:val="000000" w:themeColor="text1"/>
                <w:sz w:val="22"/>
                <w:szCs w:val="22"/>
              </w:rPr>
              <w:t>:</w:t>
            </w:r>
          </w:p>
        </w:tc>
        <w:tc>
          <w:tcPr>
            <w:tcW w:w="3912" w:type="dxa"/>
          </w:tcPr>
          <w:p w14:paraId="04175944" w14:textId="2A442C44" w:rsidR="001D5111" w:rsidRPr="00D639C4" w:rsidRDefault="00211A77" w:rsidP="002172F0">
            <w:pPr>
              <w:rPr>
                <w:color w:val="000000" w:themeColor="text1"/>
                <w:sz w:val="22"/>
                <w:szCs w:val="22"/>
                <w:lang w:val="en-GB"/>
              </w:rPr>
            </w:pPr>
            <w:r>
              <w:rPr>
                <w:color w:val="000000" w:themeColor="text1"/>
                <w:sz w:val="22"/>
                <w:szCs w:val="22"/>
                <w:lang w:val="en-GB"/>
              </w:rPr>
              <w:t>FGB</w:t>
            </w:r>
          </w:p>
        </w:tc>
      </w:tr>
      <w:tr w:rsidR="001D5111" w:rsidRPr="00D639C4" w14:paraId="3410EF90" w14:textId="77777777" w:rsidTr="002172F0">
        <w:tc>
          <w:tcPr>
            <w:tcW w:w="5098" w:type="dxa"/>
          </w:tcPr>
          <w:p w14:paraId="31B991B9" w14:textId="77777777" w:rsidR="001D5111" w:rsidRPr="00D639C4" w:rsidRDefault="001D5111" w:rsidP="002172F0">
            <w:pPr>
              <w:rPr>
                <w:color w:val="000000" w:themeColor="text1"/>
                <w:sz w:val="22"/>
                <w:szCs w:val="22"/>
                <w:lang w:val="en-GB"/>
              </w:rPr>
            </w:pPr>
            <w:r w:rsidRPr="00D639C4">
              <w:rPr>
                <w:rStyle w:val="Heading1Char"/>
                <w:rFonts w:eastAsia="Arial Unicode MS"/>
                <w:b/>
                <w:color w:val="000000" w:themeColor="text1"/>
                <w:sz w:val="22"/>
                <w:szCs w:val="22"/>
              </w:rPr>
              <w:t>Policy review &amp; approval date</w:t>
            </w:r>
            <w:r>
              <w:rPr>
                <w:rStyle w:val="Heading1Char"/>
                <w:rFonts w:eastAsia="Arial Unicode MS"/>
                <w:b/>
                <w:color w:val="000000" w:themeColor="text1"/>
                <w:sz w:val="22"/>
                <w:szCs w:val="22"/>
              </w:rPr>
              <w:t>:</w:t>
            </w:r>
          </w:p>
        </w:tc>
        <w:tc>
          <w:tcPr>
            <w:tcW w:w="3912" w:type="dxa"/>
          </w:tcPr>
          <w:p w14:paraId="37182359" w14:textId="3CED714E" w:rsidR="001D5111" w:rsidRPr="00D639C4" w:rsidRDefault="0088587A" w:rsidP="002172F0">
            <w:pPr>
              <w:rPr>
                <w:color w:val="000000" w:themeColor="text1"/>
                <w:sz w:val="22"/>
                <w:szCs w:val="22"/>
                <w:lang w:val="en-GB"/>
              </w:rPr>
            </w:pPr>
            <w:r>
              <w:rPr>
                <w:color w:val="000000" w:themeColor="text1"/>
                <w:sz w:val="22"/>
                <w:szCs w:val="22"/>
                <w:lang w:val="en-GB"/>
              </w:rPr>
              <w:t>September 2022</w:t>
            </w:r>
          </w:p>
        </w:tc>
      </w:tr>
      <w:tr w:rsidR="001D5111" w:rsidRPr="00D639C4" w14:paraId="19C3362C" w14:textId="77777777" w:rsidTr="002172F0">
        <w:tc>
          <w:tcPr>
            <w:tcW w:w="5098" w:type="dxa"/>
          </w:tcPr>
          <w:p w14:paraId="08C3462D" w14:textId="77777777" w:rsidR="001D5111" w:rsidRPr="00D639C4" w:rsidRDefault="001D5111" w:rsidP="002172F0">
            <w:pPr>
              <w:rPr>
                <w:color w:val="000000" w:themeColor="text1"/>
                <w:sz w:val="22"/>
                <w:szCs w:val="22"/>
                <w:lang w:val="en-GB"/>
              </w:rPr>
            </w:pPr>
            <w:r w:rsidRPr="00D639C4">
              <w:rPr>
                <w:rStyle w:val="Heading1Char"/>
                <w:rFonts w:eastAsia="Arial Unicode MS"/>
                <w:b/>
                <w:color w:val="000000" w:themeColor="text1"/>
                <w:sz w:val="22"/>
                <w:szCs w:val="22"/>
              </w:rPr>
              <w:t>Next review date</w:t>
            </w:r>
            <w:r>
              <w:rPr>
                <w:rStyle w:val="Heading1Char"/>
                <w:rFonts w:eastAsia="Arial Unicode MS"/>
                <w:b/>
                <w:color w:val="000000" w:themeColor="text1"/>
                <w:sz w:val="22"/>
                <w:szCs w:val="22"/>
              </w:rPr>
              <w:t>:</w:t>
            </w:r>
          </w:p>
        </w:tc>
        <w:tc>
          <w:tcPr>
            <w:tcW w:w="3912" w:type="dxa"/>
          </w:tcPr>
          <w:p w14:paraId="4667DE2D" w14:textId="423C80E1" w:rsidR="001D5111" w:rsidRPr="00D639C4" w:rsidRDefault="0088587A" w:rsidP="002172F0">
            <w:pPr>
              <w:rPr>
                <w:color w:val="000000" w:themeColor="text1"/>
                <w:sz w:val="22"/>
                <w:szCs w:val="22"/>
                <w:lang w:val="en-GB"/>
              </w:rPr>
            </w:pPr>
            <w:r>
              <w:rPr>
                <w:color w:val="000000" w:themeColor="text1"/>
                <w:sz w:val="22"/>
                <w:szCs w:val="22"/>
                <w:lang w:val="en-GB"/>
              </w:rPr>
              <w:t>September 2023</w:t>
            </w:r>
            <w:bookmarkStart w:id="0" w:name="_GoBack"/>
            <w:bookmarkEnd w:id="0"/>
          </w:p>
        </w:tc>
      </w:tr>
    </w:tbl>
    <w:p w14:paraId="7101F6F2" w14:textId="77777777" w:rsidR="001D5111" w:rsidRDefault="001D5111" w:rsidP="001D5111">
      <w:pPr>
        <w:pStyle w:val="ListParagraph"/>
      </w:pPr>
    </w:p>
    <w:p w14:paraId="59667662" w14:textId="42DE3B75" w:rsidR="00EE4BA4" w:rsidRDefault="00EE4BA4" w:rsidP="00116BDB"/>
    <w:p w14:paraId="4AD87920" w14:textId="77777777" w:rsidR="00BD5F63" w:rsidRDefault="00BD5F63" w:rsidP="00F97562"/>
    <w:p w14:paraId="6DAB8D33" w14:textId="77777777" w:rsidR="00F64A00" w:rsidRDefault="00F64A00" w:rsidP="00F97562"/>
    <w:sectPr w:rsidR="00F64A0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39749" w14:textId="77777777" w:rsidR="00290457" w:rsidRDefault="00290457" w:rsidP="00EE4BA4">
      <w:pPr>
        <w:spacing w:after="0" w:line="240" w:lineRule="auto"/>
      </w:pPr>
      <w:r>
        <w:separator/>
      </w:r>
    </w:p>
  </w:endnote>
  <w:endnote w:type="continuationSeparator" w:id="0">
    <w:p w14:paraId="09E3F3C9" w14:textId="77777777" w:rsidR="00290457" w:rsidRDefault="00290457" w:rsidP="00EE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3455C" w14:textId="77777777" w:rsidR="00290457" w:rsidRDefault="00290457" w:rsidP="00EE4BA4">
      <w:pPr>
        <w:spacing w:after="0" w:line="240" w:lineRule="auto"/>
      </w:pPr>
      <w:r>
        <w:separator/>
      </w:r>
    </w:p>
  </w:footnote>
  <w:footnote w:type="continuationSeparator" w:id="0">
    <w:p w14:paraId="27A1410C" w14:textId="77777777" w:rsidR="00290457" w:rsidRDefault="00290457" w:rsidP="00EE4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CB3D" w14:textId="77777777" w:rsidR="001D5111" w:rsidRDefault="001D5111" w:rsidP="001D5111">
    <w:pPr>
      <w:pStyle w:val="Header"/>
      <w:jc w:val="center"/>
      <w:rPr>
        <w:b/>
        <w:sz w:val="40"/>
        <w:szCs w:val="40"/>
      </w:rPr>
    </w:pPr>
    <w:r w:rsidRPr="004F271B">
      <w:rPr>
        <w:b/>
        <w:sz w:val="40"/>
        <w:szCs w:val="40"/>
      </w:rPr>
      <w:t>St Joseph’s Catholic Primary</w:t>
    </w:r>
    <w:r>
      <w:rPr>
        <w:b/>
        <w:sz w:val="40"/>
        <w:szCs w:val="40"/>
      </w:rPr>
      <w:t xml:space="preserve"> School</w:t>
    </w:r>
    <w:r w:rsidRPr="004F271B">
      <w:rPr>
        <w:b/>
        <w:sz w:val="40"/>
        <w:szCs w:val="40"/>
      </w:rPr>
      <w:t>, Malmesbury</w:t>
    </w:r>
  </w:p>
  <w:p w14:paraId="6CF8D02E" w14:textId="2DACFB50" w:rsidR="001D5111" w:rsidRDefault="0088587A" w:rsidP="001D5111">
    <w:pPr>
      <w:pStyle w:val="Header"/>
      <w:jc w:val="center"/>
      <w:rPr>
        <w:b/>
        <w:sz w:val="40"/>
        <w:szCs w:val="40"/>
      </w:rPr>
    </w:pPr>
    <w:r>
      <w:rPr>
        <w:b/>
        <w:sz w:val="40"/>
        <w:szCs w:val="40"/>
      </w:rPr>
      <w:t>Early Career Teacher (ECT) Policy</w:t>
    </w:r>
  </w:p>
  <w:p w14:paraId="205759A4" w14:textId="77777777" w:rsidR="001D5111" w:rsidRPr="004F271B" w:rsidRDefault="001D5111" w:rsidP="001D5111">
    <w:pPr>
      <w:pStyle w:val="Header"/>
      <w:jc w:val="center"/>
      <w:rPr>
        <w:b/>
        <w:sz w:val="10"/>
        <w:szCs w:val="10"/>
      </w:rPr>
    </w:pPr>
  </w:p>
  <w:p w14:paraId="5216B5D4" w14:textId="77777777" w:rsidR="001D5111" w:rsidRDefault="001D5111" w:rsidP="001D5111">
    <w:pPr>
      <w:pStyle w:val="Header"/>
      <w:jc w:val="center"/>
    </w:pPr>
    <w:r>
      <w:rPr>
        <w:rFonts w:ascii="Arial" w:hAnsi="Arial" w:cs="Arial"/>
        <w:b/>
        <w:noProof/>
        <w:lang w:eastAsia="en-GB"/>
      </w:rPr>
      <w:drawing>
        <wp:inline distT="0" distB="0" distL="0" distR="0" wp14:anchorId="509EFDA0" wp14:editId="7E74BF0F">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4C4A6A45" w14:textId="77777777" w:rsidR="001D5111" w:rsidRPr="004F271B" w:rsidRDefault="001D5111" w:rsidP="001D5111">
    <w:pPr>
      <w:pStyle w:val="Header"/>
      <w:jc w:val="center"/>
      <w:rPr>
        <w:sz w:val="10"/>
        <w:szCs w:val="10"/>
      </w:rPr>
    </w:pPr>
  </w:p>
  <w:p w14:paraId="5DDBB441" w14:textId="77777777" w:rsidR="001D5111" w:rsidRPr="004F271B" w:rsidRDefault="001D5111" w:rsidP="001D5111">
    <w:pPr>
      <w:pStyle w:val="Header"/>
      <w:jc w:val="center"/>
      <w:rPr>
        <w:b/>
        <w:i/>
        <w:sz w:val="28"/>
        <w:szCs w:val="28"/>
      </w:rPr>
    </w:pPr>
    <w:r>
      <w:rPr>
        <w:b/>
        <w:i/>
        <w:sz w:val="28"/>
        <w:szCs w:val="28"/>
      </w:rPr>
      <w:t>“</w:t>
    </w:r>
    <w:r w:rsidRPr="004F271B">
      <w:rPr>
        <w:b/>
        <w:i/>
        <w:sz w:val="28"/>
        <w:szCs w:val="28"/>
      </w:rPr>
      <w:t>Walking in the footsteps of Jesus, loving and serving together</w:t>
    </w:r>
    <w:r>
      <w:rPr>
        <w:b/>
        <w:i/>
        <w:sz w:val="28"/>
        <w:szCs w:val="28"/>
      </w:rPr>
      <w:t>”</w:t>
    </w:r>
  </w:p>
  <w:p w14:paraId="7E932B3B" w14:textId="77777777" w:rsidR="00EE4BA4" w:rsidRDefault="00EE4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4E7"/>
    <w:multiLevelType w:val="hybridMultilevel"/>
    <w:tmpl w:val="E03E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A462C"/>
    <w:multiLevelType w:val="hybridMultilevel"/>
    <w:tmpl w:val="7E1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431E2"/>
    <w:multiLevelType w:val="hybridMultilevel"/>
    <w:tmpl w:val="BC64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90C6C"/>
    <w:multiLevelType w:val="hybridMultilevel"/>
    <w:tmpl w:val="603A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F418F"/>
    <w:multiLevelType w:val="hybridMultilevel"/>
    <w:tmpl w:val="A92CA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1E41597"/>
    <w:multiLevelType w:val="hybridMultilevel"/>
    <w:tmpl w:val="F8D0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62"/>
    <w:rsid w:val="00046F26"/>
    <w:rsid w:val="00061CFE"/>
    <w:rsid w:val="00116BDB"/>
    <w:rsid w:val="001271DB"/>
    <w:rsid w:val="00162EC2"/>
    <w:rsid w:val="001C7930"/>
    <w:rsid w:val="001D5111"/>
    <w:rsid w:val="00211A77"/>
    <w:rsid w:val="00247413"/>
    <w:rsid w:val="002538AE"/>
    <w:rsid w:val="00290457"/>
    <w:rsid w:val="002E14CA"/>
    <w:rsid w:val="0033324F"/>
    <w:rsid w:val="00367115"/>
    <w:rsid w:val="003B09A4"/>
    <w:rsid w:val="003D436D"/>
    <w:rsid w:val="0046309B"/>
    <w:rsid w:val="00485447"/>
    <w:rsid w:val="004B576E"/>
    <w:rsid w:val="00533C7A"/>
    <w:rsid w:val="005B2A57"/>
    <w:rsid w:val="005B47C1"/>
    <w:rsid w:val="00611B6C"/>
    <w:rsid w:val="00704C62"/>
    <w:rsid w:val="00721C56"/>
    <w:rsid w:val="00746781"/>
    <w:rsid w:val="007745DF"/>
    <w:rsid w:val="00777F6F"/>
    <w:rsid w:val="00793400"/>
    <w:rsid w:val="007F3292"/>
    <w:rsid w:val="0085128D"/>
    <w:rsid w:val="0088587A"/>
    <w:rsid w:val="00932ADB"/>
    <w:rsid w:val="009D03EA"/>
    <w:rsid w:val="00AB77E7"/>
    <w:rsid w:val="00AF6E5D"/>
    <w:rsid w:val="00B2553B"/>
    <w:rsid w:val="00B45BDD"/>
    <w:rsid w:val="00BC64EF"/>
    <w:rsid w:val="00BD117F"/>
    <w:rsid w:val="00BD5F63"/>
    <w:rsid w:val="00C40151"/>
    <w:rsid w:val="00C62D00"/>
    <w:rsid w:val="00C735EB"/>
    <w:rsid w:val="00C96995"/>
    <w:rsid w:val="00CB3C66"/>
    <w:rsid w:val="00CE504D"/>
    <w:rsid w:val="00D66B9F"/>
    <w:rsid w:val="00D91330"/>
    <w:rsid w:val="00DE5C90"/>
    <w:rsid w:val="00E357F9"/>
    <w:rsid w:val="00E54EF1"/>
    <w:rsid w:val="00E67A99"/>
    <w:rsid w:val="00EE4BA4"/>
    <w:rsid w:val="00F36992"/>
    <w:rsid w:val="00F64A00"/>
    <w:rsid w:val="00F74E0B"/>
    <w:rsid w:val="00F97562"/>
    <w:rsid w:val="00FC33E2"/>
    <w:rsid w:val="00FC3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3F174C"/>
  <w15:chartTrackingRefBased/>
  <w15:docId w15:val="{D5A3C7FC-EC8F-477E-B42C-850E6B9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D5111"/>
    <w:pPr>
      <w:keepNext/>
      <w:keepLines/>
      <w:spacing w:before="240" w:after="0"/>
      <w:outlineLvl w:val="0"/>
    </w:pPr>
    <w:rPr>
      <w:rFonts w:ascii="Calibri Light" w:eastAsia="Times New Roman" w:hAnsi="Calibri Light" w:cs="Times New Roman"/>
      <w:color w:val="2F5496"/>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BDB"/>
    <w:pPr>
      <w:ind w:left="720"/>
      <w:contextualSpacing/>
    </w:pPr>
  </w:style>
  <w:style w:type="paragraph" w:styleId="Header">
    <w:name w:val="header"/>
    <w:basedOn w:val="Normal"/>
    <w:link w:val="HeaderChar"/>
    <w:uiPriority w:val="99"/>
    <w:unhideWhenUsed/>
    <w:rsid w:val="00EE4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BA4"/>
  </w:style>
  <w:style w:type="paragraph" w:styleId="Footer">
    <w:name w:val="footer"/>
    <w:basedOn w:val="Normal"/>
    <w:link w:val="FooterChar"/>
    <w:uiPriority w:val="99"/>
    <w:unhideWhenUsed/>
    <w:rsid w:val="00EE4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BA4"/>
  </w:style>
  <w:style w:type="character" w:styleId="Hyperlink">
    <w:name w:val="Hyperlink"/>
    <w:basedOn w:val="DefaultParagraphFont"/>
    <w:uiPriority w:val="99"/>
    <w:unhideWhenUsed/>
    <w:rsid w:val="00B45BDD"/>
    <w:rPr>
      <w:color w:val="0563C1" w:themeColor="hyperlink"/>
      <w:u w:val="single"/>
    </w:rPr>
  </w:style>
  <w:style w:type="character" w:customStyle="1" w:styleId="UnresolvedMention">
    <w:name w:val="Unresolved Mention"/>
    <w:basedOn w:val="DefaultParagraphFont"/>
    <w:uiPriority w:val="99"/>
    <w:semiHidden/>
    <w:unhideWhenUsed/>
    <w:rsid w:val="00B45BDD"/>
    <w:rPr>
      <w:color w:val="605E5C"/>
      <w:shd w:val="clear" w:color="auto" w:fill="E1DFDD"/>
    </w:rPr>
  </w:style>
  <w:style w:type="paragraph" w:customStyle="1" w:styleId="Default">
    <w:name w:val="Default"/>
    <w:rsid w:val="00B45BD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1D5111"/>
    <w:rPr>
      <w:rFonts w:ascii="Calibri Light" w:eastAsia="Times New Roman" w:hAnsi="Calibri Light" w:cs="Times New Roman"/>
      <w:color w:val="2F5496"/>
      <w:sz w:val="32"/>
      <w:szCs w:val="32"/>
      <w:u w:color="000000"/>
    </w:rPr>
  </w:style>
  <w:style w:type="table" w:styleId="TableGrid">
    <w:name w:val="Table Grid"/>
    <w:basedOn w:val="TableNormal"/>
    <w:uiPriority w:val="39"/>
    <w:rsid w:val="001D511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e.margetts@wilst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duction-for-early-career-teachers-englan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C09A3-1395-4733-965A-8AD6C71021AB}">
  <ds:schemaRefs>
    <ds:schemaRef ds:uri="http://schemas.microsoft.com/office/2006/metadata/properties"/>
    <ds:schemaRef ds:uri="b57ede8c-d8e3-4e06-8069-fce107d0756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4c49ff08-6254-4bb9-ae1f-e668c6b5a274"/>
    <ds:schemaRef ds:uri="http://www.w3.org/XML/1998/namespace"/>
    <ds:schemaRef ds:uri="http://purl.org/dc/dcmitype/"/>
  </ds:schemaRefs>
</ds:datastoreItem>
</file>

<file path=customXml/itemProps2.xml><?xml version="1.0" encoding="utf-8"?>
<ds:datastoreItem xmlns:ds="http://schemas.openxmlformats.org/officeDocument/2006/customXml" ds:itemID="{32E171F1-912E-45DC-A5D4-01C3F29C006F}">
  <ds:schemaRefs>
    <ds:schemaRef ds:uri="http://schemas.microsoft.com/sharepoint/v3/contenttype/forms"/>
  </ds:schemaRefs>
</ds:datastoreItem>
</file>

<file path=customXml/itemProps3.xml><?xml version="1.0" encoding="utf-8"?>
<ds:datastoreItem xmlns:ds="http://schemas.openxmlformats.org/officeDocument/2006/customXml" ds:itemID="{6B8EBA11-BF1E-4F7C-84FA-949B87529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8091E-04F1-446F-9593-171E4202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Andrew</dc:creator>
  <cp:keywords/>
  <dc:description/>
  <cp:lastModifiedBy>Sue Woods</cp:lastModifiedBy>
  <cp:revision>2</cp:revision>
  <dcterms:created xsi:type="dcterms:W3CDTF">2022-07-25T19:01:00Z</dcterms:created>
  <dcterms:modified xsi:type="dcterms:W3CDTF">2022-07-25T19:01:00Z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